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5" w:right="-2" w:firstLine="15"/>
        <w:jc w:val="center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-15" w:right="-2" w:firstLine="15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highlight w:val="none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-15" w:right="-2" w:firstLine="15"/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  <w:t xml:space="preserve">Информация для руководителей организаций</w:t>
      </w:r>
      <w:r>
        <w:rPr>
          <w:b/>
          <w:bCs/>
          <w:sz w:val="32"/>
          <w:szCs w:val="32"/>
          <w:highlight w:val="none"/>
        </w:rPr>
      </w:r>
    </w:p>
    <w:p>
      <w:pPr>
        <w:ind w:left="-15" w:right="-2" w:firstLine="15"/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ind w:left="-15" w:right="-2" w:firstLine="15"/>
        <w:jc w:val="center"/>
        <w:rPr>
          <w:b/>
          <w:bCs/>
          <w:sz w:val="32"/>
          <w:szCs w:val="32"/>
          <w:highlight w:val="none"/>
        </w:rPr>
      </w:pPr>
      <w:r>
        <w:rPr>
          <w:b/>
          <w:sz w:val="32"/>
          <w:szCs w:val="32"/>
        </w:rPr>
        <w:t xml:space="preserve">Разъяснения</w:t>
      </w:r>
      <w:r>
        <w:rPr>
          <w:b/>
          <w:sz w:val="32"/>
          <w:szCs w:val="32"/>
        </w:rPr>
        <w:t xml:space="preserve"> по заполнению формы федерального статистического наблюдения</w:t>
      </w:r>
      <w:r>
        <w:rPr>
          <w:b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№ 1-СХ (баланс)-срочная (квартальная, годовая) «Сведения о движении зерна и продуктов его переработки»</w:t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ind w:left="-15" w:right="-2" w:firstLine="724"/>
        <w:jc w:val="both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none"/>
        </w:rPr>
        <w:t xml:space="preserve">В соответствии с Производственны</w:t>
      </w:r>
      <w:r>
        <w:rPr>
          <w:rFonts w:eastAsia="Calibri"/>
          <w:sz w:val="28"/>
          <w:szCs w:val="28"/>
          <w:highlight w:val="none"/>
        </w:rPr>
        <w:t xml:space="preserve">м планом статистических работ на 2024 год осуществляется разработка данных формы федерального статистического наблюдения №1-СХ (баланс)-срочная «Сведения о движении зерна и продуктов его переработки», утвержденной приказом Росстата от 31.07.2023 года №369.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-15" w:right="-2" w:firstLine="724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Форму </w:t>
      </w:r>
      <w:r>
        <w:rPr>
          <w:rFonts w:eastAsia="Calibri"/>
          <w:sz w:val="28"/>
          <w:szCs w:val="28"/>
          <w:highlight w:val="none"/>
        </w:rPr>
        <w:t xml:space="preserve">№1-СХ (баланс)-срочная</w:t>
      </w:r>
      <w:r>
        <w:rPr>
          <w:sz w:val="28"/>
          <w:szCs w:val="28"/>
        </w:rPr>
        <w:t xml:space="preserve"> федерального статистического </w:t>
        <w:br/>
        <w:t xml:space="preserve">наблюдения </w:t>
      </w:r>
      <w:r>
        <w:rPr>
          <w:sz w:val="28"/>
          <w:szCs w:val="28"/>
        </w:rPr>
        <w:t xml:space="preserve">предоставляют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юридические лица (кроме микропредприятий, крестьянских (фермерских) хозяйств,</w:t>
      </w:r>
      <w:r>
        <w:rPr>
          <w:sz w:val="28"/>
          <w:szCs w:val="28"/>
        </w:rPr>
        <w:t xml:space="preserve"> а также организаций, основным видом деятельности которых является сельскохозяйственная деятельность), осуществляющие закупку, хранение, переработку зерна, продуктов переработки (код по ОКВЭД2 46.21.11, 52.10.3, 10.61,10.62, 10.9, 11.01.4, 11.05, 10.73.1) </w:t>
      </w:r>
      <w:r>
        <w:rPr>
          <w:b/>
          <w:bCs/>
          <w:sz w:val="28"/>
          <w:szCs w:val="28"/>
        </w:rPr>
        <w:t xml:space="preserve">ежеквартально с 1-го по 5-й рабочий день после отчетного периода</w:t>
      </w:r>
      <w:r>
        <w:rPr>
          <w:sz w:val="28"/>
          <w:szCs w:val="28"/>
        </w:rPr>
        <w:t xml:space="preserve"> за январь–март, январь–июнь, январь–сентябрь по зерну, видам зерновых культур;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юридические лица, включая микропредприятия (кроме крестьянских (фермерских) хозяйств, </w:t>
      </w:r>
      <w:r>
        <w:rPr>
          <w:sz w:val="28"/>
          <w:szCs w:val="28"/>
        </w:rPr>
        <w:t xml:space="preserve">а также организаций, основным видом деятельности которых является сельскохозяйственная деятельность), осуществляющие закупку, хранение, переработку зерна, продуктов переработки (код по ОКВЭД2 46.21.11, 52.10.3, 10.61, 10.62, 10.9, 11.01.4, 11.05, 10.73.1) </w:t>
      </w:r>
      <w:r>
        <w:rPr>
          <w:b/>
          <w:bCs/>
          <w:sz w:val="28"/>
          <w:szCs w:val="28"/>
        </w:rPr>
        <w:t xml:space="preserve">ежегодно с 1-го по 3-й рабочий день после отчетного года</w:t>
      </w:r>
      <w:r>
        <w:rPr>
          <w:sz w:val="28"/>
          <w:szCs w:val="28"/>
        </w:rPr>
        <w:t xml:space="preserve"> по зерну, видам зерновых культур, муке и крупе.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  <w:t xml:space="preserve">В зависимости от технических возможностей респондента допустимы следующие варианты представления отчетности: 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 </w:t>
      </w:r>
      <w:r>
        <w:rPr>
          <w:rFonts w:eastAsia="Calibri"/>
          <w:i/>
          <w:sz w:val="28"/>
          <w:szCs w:val="28"/>
        </w:rPr>
        <w:t xml:space="preserve">в электронном виде</w:t>
      </w:r>
      <w:r>
        <w:rPr>
          <w:rFonts w:eastAsia="Calibri"/>
          <w:sz w:val="28"/>
          <w:szCs w:val="28"/>
        </w:rPr>
        <w:t xml:space="preserve">: через операторов электронного документооборота (специализированный оператор связи) или через систему </w:t>
      </w:r>
      <w:r>
        <w:rPr>
          <w:rFonts w:eastAsia="Calibri"/>
          <w:sz w:val="28"/>
          <w:szCs w:val="28"/>
          <w:lang w:val="en-US"/>
        </w:rPr>
        <w:t xml:space="preserve">web</w:t>
      </w:r>
      <w:r>
        <w:rPr>
          <w:rFonts w:eastAsia="Calibri"/>
          <w:sz w:val="28"/>
          <w:szCs w:val="28"/>
        </w:rPr>
        <w:t xml:space="preserve">-сбора </w:t>
      </w:r>
      <w:r>
        <w:rPr>
          <w:rFonts w:eastAsia="Calibri"/>
          <w:sz w:val="28"/>
          <w:szCs w:val="28"/>
        </w:rPr>
        <w:t xml:space="preserve">(</w:t>
      </w:r>
      <w:r>
        <w:rPr>
          <w:rStyle w:val="873"/>
          <w:rFonts w:eastAsia="Calibri"/>
          <w:sz w:val="28"/>
          <w:szCs w:val="28"/>
          <w:u w:val="none"/>
          <w:lang w:val="en-US"/>
        </w:rPr>
        <w:t xml:space="preserve">https</w:t>
      </w:r>
      <w:r>
        <w:rPr>
          <w:rStyle w:val="873"/>
          <w:rFonts w:eastAsia="Calibri"/>
          <w:sz w:val="28"/>
          <w:szCs w:val="28"/>
          <w:u w:val="none"/>
        </w:rPr>
        <w:t xml:space="preserve">://</w:t>
      </w:r>
      <w:r>
        <w:rPr>
          <w:rStyle w:val="873"/>
          <w:rFonts w:eastAsia="Calibri"/>
          <w:sz w:val="28"/>
          <w:szCs w:val="28"/>
          <w:u w:val="none"/>
          <w:lang w:val="en-US"/>
        </w:rPr>
        <w:t xml:space="preserve">websbor</w:t>
      </w:r>
      <w:r>
        <w:rPr>
          <w:rStyle w:val="873"/>
          <w:rFonts w:eastAsia="Calibri"/>
          <w:sz w:val="28"/>
          <w:szCs w:val="28"/>
          <w:u w:val="none"/>
        </w:rPr>
        <w:t xml:space="preserve">.</w:t>
      </w:r>
      <w:r>
        <w:rPr>
          <w:rStyle w:val="873"/>
          <w:rFonts w:eastAsia="Calibri"/>
          <w:sz w:val="28"/>
          <w:szCs w:val="28"/>
          <w:u w:val="none"/>
          <w:lang w:val="en-US"/>
        </w:rPr>
        <w:t xml:space="preserve">rosstat</w:t>
      </w:r>
      <w:r>
        <w:rPr>
          <w:rStyle w:val="873"/>
          <w:rFonts w:eastAsia="Calibri"/>
          <w:sz w:val="28"/>
          <w:szCs w:val="28"/>
          <w:u w:val="none"/>
        </w:rPr>
        <w:t xml:space="preserve">.</w:t>
      </w:r>
      <w:r>
        <w:rPr>
          <w:rStyle w:val="873"/>
          <w:rFonts w:eastAsia="Calibri"/>
          <w:sz w:val="28"/>
          <w:szCs w:val="28"/>
          <w:u w:val="none"/>
          <w:lang w:val="en-US"/>
        </w:rPr>
        <w:t xml:space="preserve">gov</w:t>
      </w:r>
      <w:r>
        <w:rPr>
          <w:rStyle w:val="873"/>
          <w:rFonts w:eastAsia="Calibri"/>
          <w:sz w:val="28"/>
          <w:szCs w:val="28"/>
          <w:u w:val="none"/>
        </w:rPr>
        <w:t xml:space="preserve">.</w:t>
      </w:r>
      <w:r>
        <w:rPr>
          <w:rStyle w:val="873"/>
          <w:rFonts w:eastAsia="Calibri"/>
          <w:sz w:val="28"/>
          <w:szCs w:val="28"/>
          <w:u w:val="none"/>
          <w:lang w:val="en-US"/>
        </w:rPr>
        <w:t xml:space="preserve">ru</w:t>
      </w:r>
      <w:r>
        <w:rPr>
          <w:rStyle w:val="873"/>
          <w:rFonts w:eastAsia="Calibri"/>
          <w:sz w:val="28"/>
          <w:szCs w:val="28"/>
          <w:u w:val="none"/>
        </w:rPr>
        <w:t xml:space="preserve">/</w:t>
      </w:r>
      <w:r>
        <w:rPr>
          <w:rStyle w:val="873"/>
          <w:rFonts w:eastAsia="Calibri"/>
          <w:sz w:val="28"/>
          <w:szCs w:val="28"/>
          <w:u w:val="none"/>
          <w:lang w:val="en-US"/>
        </w:rPr>
        <w:t xml:space="preserve">online</w:t>
      </w:r>
      <w:r>
        <w:rPr>
          <w:rStyle w:val="873"/>
          <w:rFonts w:eastAsia="Calibri"/>
          <w:sz w:val="28"/>
          <w:szCs w:val="28"/>
          <w:u w:val="none"/>
        </w:rPr>
        <w:t xml:space="preserve">/</w:t>
      </w:r>
      <w:r>
        <w:rPr>
          <w:rFonts w:eastAsia="Calibri"/>
          <w:sz w:val="28"/>
          <w:szCs w:val="28"/>
        </w:rPr>
        <w:t xml:space="preserve">)</w:t>
      </w:r>
      <w:r>
        <w:rPr>
          <w:rFonts w:eastAsia="Calibri"/>
          <w:sz w:val="28"/>
          <w:szCs w:val="28"/>
        </w:rPr>
        <w:t xml:space="preserve"> Росстата</w:t>
      </w:r>
      <w:r>
        <w:rPr>
          <w:rFonts w:eastAsia="Calibri"/>
          <w:sz w:val="28"/>
          <w:szCs w:val="28"/>
        </w:rPr>
        <w:t xml:space="preserve">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 </w:t>
      </w:r>
      <w:r>
        <w:rPr>
          <w:rFonts w:eastAsia="Calibri"/>
          <w:i/>
          <w:sz w:val="28"/>
          <w:szCs w:val="28"/>
        </w:rPr>
        <w:t xml:space="preserve">на бумажном носителе:</w:t>
      </w:r>
      <w:r>
        <w:rPr>
          <w:rFonts w:eastAsia="Calibri"/>
          <w:sz w:val="28"/>
          <w:szCs w:val="28"/>
        </w:rPr>
        <w:t xml:space="preserve"> в структурное подразделение Луганскстата по месту </w:t>
      </w:r>
      <w:r>
        <w:rPr>
          <w:rFonts w:eastAsia="Calibri"/>
          <w:sz w:val="28"/>
          <w:szCs w:val="28"/>
        </w:rPr>
        <w:t xml:space="preserve">осуществления деятельности</w:t>
      </w:r>
      <w:r>
        <w:rPr>
          <w:rFonts w:eastAsia="Calibri"/>
          <w:sz w:val="28"/>
          <w:szCs w:val="28"/>
        </w:rPr>
        <w:t xml:space="preserve"> или непосредственно в Луганскстат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Бланк формы и указания по ее заполнению</w:t>
      </w:r>
      <w:r>
        <w:rPr>
          <w:color w:val="000000"/>
          <w:sz w:val="28"/>
          <w:szCs w:val="28"/>
        </w:rPr>
        <w:t xml:space="preserve">, а также </w:t>
      </w:r>
      <w:r>
        <w:rPr>
          <w:color w:val="000000"/>
          <w:sz w:val="28"/>
          <w:szCs w:val="28"/>
          <w:lang w:val="en-US"/>
        </w:rPr>
        <w:t xml:space="preserve">XML</w:t>
      </w:r>
      <w:r>
        <w:rPr>
          <w:color w:val="000000"/>
          <w:sz w:val="28"/>
          <w:szCs w:val="28"/>
        </w:rPr>
        <w:t xml:space="preserve">-шаблоны</w:t>
      </w:r>
      <w:r>
        <w:rPr>
          <w:color w:val="000000"/>
          <w:sz w:val="28"/>
          <w:szCs w:val="28"/>
        </w:rPr>
        <w:t xml:space="preserve"> размещены на официальном сайте Росстата (</w:t>
      </w:r>
      <w:hyperlink r:id="rId10" w:tooltip="https://rosstat.gov.ru/" w:history="1">
        <w:r>
          <w:rPr>
            <w:color w:val="111db5"/>
            <w:sz w:val="28"/>
            <w:szCs w:val="28"/>
          </w:rPr>
          <w:t xml:space="preserve">https://rosstat.gov.ru/</w:t>
        </w:r>
      </w:hyperlink>
      <w:r>
        <w:rPr>
          <w:color w:val="000000"/>
          <w:sz w:val="28"/>
          <w:szCs w:val="28"/>
        </w:rPr>
        <w:t xml:space="preserve">) в разделе Респондентам/ Формы федерального статистического наблюдения и формы бухгалтерской (финансовой) отчетности/ Альбом форм федерального статистического наблюдения.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Обращаем внимание, что при заполнении формы за январь</w:t>
      </w:r>
      <w:r>
        <w:rPr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март, январь</w:t>
      </w:r>
      <w:r>
        <w:rPr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июнь, январь</w:t>
      </w:r>
      <w:r>
        <w:rPr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сентябрь необходимо выбирать </w:t>
      </w:r>
      <w:r>
        <w:rPr>
          <w:b/>
          <w:sz w:val="26"/>
          <w:szCs w:val="26"/>
        </w:rPr>
        <w:t xml:space="preserve">XML-шаблон </w:t>
      </w:r>
      <w:r>
        <w:rPr>
          <w:b/>
          <w:bCs/>
          <w:sz w:val="32"/>
          <w:szCs w:val="32"/>
        </w:rPr>
        <w:t xml:space="preserve">«</w:t>
      </w:r>
      <w:r>
        <w:rPr>
          <w:b/>
          <w:sz w:val="26"/>
          <w:szCs w:val="26"/>
        </w:rPr>
        <w:t xml:space="preserve">квартальный</w:t>
      </w:r>
      <w:r>
        <w:rPr>
          <w:b/>
          <w:bCs/>
          <w:sz w:val="32"/>
          <w:szCs w:val="32"/>
        </w:rPr>
        <w:t xml:space="preserve">»</w:t>
      </w:r>
      <w:r>
        <w:rPr>
          <w:b/>
          <w:sz w:val="26"/>
          <w:szCs w:val="26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январь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декабрь</w:t>
      </w:r>
      <w:r>
        <w:rPr>
          <w:sz w:val="28"/>
          <w:szCs w:val="28"/>
        </w:rPr>
        <w:t xml:space="preserve"> –</w:t>
      </w:r>
      <w:r>
        <w:rPr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XML-шаблон </w:t>
      </w:r>
      <w:r>
        <w:rPr>
          <w:b/>
          <w:bCs/>
          <w:sz w:val="32"/>
          <w:szCs w:val="32"/>
        </w:rPr>
        <w:t xml:space="preserve">«</w:t>
      </w:r>
      <w:r>
        <w:rPr>
          <w:b/>
          <w:sz w:val="26"/>
          <w:szCs w:val="26"/>
        </w:rPr>
        <w:t xml:space="preserve">годовой</w:t>
      </w:r>
      <w:r>
        <w:rPr>
          <w:b/>
          <w:bCs/>
          <w:sz w:val="32"/>
          <w:szCs w:val="32"/>
        </w:rPr>
        <w:t xml:space="preserve">»</w:t>
      </w:r>
      <w:r>
        <w:rPr>
          <w:sz w:val="32"/>
          <w:szCs w:val="32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показатели формы №1-СХ (баланс)-срочная предоставляются нарастающим итогом с начала года, в тоннах без десятичного знака.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предоставляются по юридическому лицу (обособленному подразделению), при объеме закупки, хранения или переработки зерна, продуктов переработки зерна более 1 тонны за отчетный период.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предоставляются только при наличии наблюдаемого явления. В случае отсутствия явления форм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органы государственной статистики</w:t>
      </w:r>
      <w:r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направляе</w:t>
      </w:r>
      <w:bookmarkStart w:id="0" w:name="_GoBack"/>
      <w:r/>
      <w:bookmarkEnd w:id="0"/>
      <w:r>
        <w:rPr>
          <w:sz w:val="28"/>
          <w:szCs w:val="28"/>
        </w:rPr>
        <w:t xml:space="preserve">тся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</w:t>
      </w:r>
      <w:r>
        <w:rPr>
          <w:sz w:val="28"/>
          <w:szCs w:val="28"/>
        </w:rPr>
        <w:t xml:space="preserve">№1-СХ (баланс)-срочная </w:t>
      </w:r>
      <w:r>
        <w:rPr>
          <w:sz w:val="28"/>
          <w:szCs w:val="28"/>
        </w:rPr>
        <w:t xml:space="preserve">отражается все зерно, имеющееся </w:t>
      </w:r>
      <w:r>
        <w:rPr>
          <w:b w:val="0"/>
          <w:bCs w:val="0"/>
          <w:sz w:val="28"/>
          <w:szCs w:val="28"/>
          <w:u w:val="none"/>
        </w:rPr>
        <w:t xml:space="preserve">в</w:t>
      </w:r>
      <w:r>
        <w:rPr>
          <w:b w:val="0"/>
          <w:bCs w:val="0"/>
          <w:sz w:val="28"/>
          <w:szCs w:val="28"/>
          <w:u w:val="none"/>
        </w:rPr>
        <w:t xml:space="preserve"> </w:t>
      </w:r>
      <w:r>
        <w:rPr>
          <w:b w:val="0"/>
          <w:bCs w:val="0"/>
          <w:sz w:val="28"/>
          <w:szCs w:val="28"/>
          <w:u w:val="none"/>
        </w:rPr>
        <w:t xml:space="preserve">наличии</w:t>
      </w:r>
      <w:r>
        <w:rPr>
          <w:b w:val="0"/>
          <w:bCs w:val="0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 xml:space="preserve">на отчетную дату в организации, включая зерно, сданное на хранение сторонними несельскохозяйственными организациями Луганской Народной Республики, других </w:t>
      </w:r>
      <w:r>
        <w:rPr>
          <w:sz w:val="28"/>
          <w:szCs w:val="28"/>
        </w:rPr>
        <w:t xml:space="preserve">субъектов Российской Федерации, и ввезенное из-за пределов Российской Федерации.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исключения двойного учета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 организации, осуществляющие операции с зерном, кроме организаций, основным видом деятельности которых является хранение или переработка зерна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 должны исключить из отчета количество зерна сданного на хранение </w:t>
      </w:r>
      <w:r>
        <w:rPr>
          <w:bCs/>
          <w:sz w:val="28"/>
          <w:szCs w:val="28"/>
        </w:rPr>
        <w:t xml:space="preserve">организациям</w:t>
      </w:r>
      <w:r>
        <w:rPr>
          <w:bCs/>
          <w:sz w:val="28"/>
          <w:szCs w:val="28"/>
        </w:rPr>
        <w:t xml:space="preserve"> с основным видом деятельности – хранение, расположенным как на территории Луганской Народной Республики, так и других субъектов Российской Федерации и других государств.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Зерно сельскохозяйственных организаций, крестьянских (фермерских) хозяйств</w:t>
      </w:r>
      <w:r>
        <w:rPr>
          <w:b w:val="0"/>
          <w:bCs w:val="0"/>
          <w:sz w:val="28"/>
          <w:szCs w:val="28"/>
        </w:rPr>
        <w:t xml:space="preserve">, </w:t>
      </w:r>
      <w:r>
        <w:rPr>
          <w:sz w:val="28"/>
          <w:szCs w:val="28"/>
        </w:rPr>
        <w:t xml:space="preserve">находящееся на хранении и давальческое сырье, отданное в переработку хлебоприемным и перерабатывающим </w:t>
      </w:r>
      <w:r>
        <w:rPr>
          <w:sz w:val="28"/>
          <w:szCs w:val="28"/>
        </w:rPr>
        <w:t xml:space="preserve">организациям</w:t>
      </w:r>
      <w:r>
        <w:rPr>
          <w:sz w:val="28"/>
          <w:szCs w:val="28"/>
        </w:rPr>
        <w:t xml:space="preserve"> и другим </w:t>
      </w:r>
      <w:r>
        <w:rPr>
          <w:sz w:val="28"/>
          <w:szCs w:val="28"/>
        </w:rPr>
        <w:t xml:space="preserve">организациям</w:t>
      </w:r>
      <w:r>
        <w:rPr>
          <w:sz w:val="28"/>
          <w:szCs w:val="28"/>
        </w:rPr>
        <w:t xml:space="preserve">, производящим операции с зерном, в форму </w:t>
      </w:r>
      <w:r>
        <w:rPr>
          <w:b/>
          <w:sz w:val="28"/>
          <w:szCs w:val="28"/>
        </w:rPr>
        <w:t xml:space="preserve">не включается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организация хранящая и перерабатывающая зерновые и зернобобовые культуры, отчитывается ежемесячно по форме федерального статистического наблюдения № П-1 (СХ)</w:t>
      </w:r>
      <w:r>
        <w:rPr>
          <w:sz w:val="28"/>
          <w:szCs w:val="28"/>
        </w:rPr>
        <w:t xml:space="preserve"> (месячная) «Сведения о производстве и отгрузке сельскохозяйственной продукции»</w:t>
      </w:r>
      <w:r>
        <w:rPr>
          <w:sz w:val="28"/>
          <w:szCs w:val="28"/>
        </w:rPr>
        <w:t xml:space="preserve">, то из формы № 1-СХ (баланс)-срочная, данные по зерну, выращенному</w:t>
      </w:r>
      <w:r>
        <w:rPr>
          <w:b/>
          <w:sz w:val="28"/>
          <w:szCs w:val="28"/>
        </w:rPr>
        <w:t xml:space="preserve"> собственными силами</w:t>
      </w:r>
      <w:r>
        <w:rPr>
          <w:b/>
          <w:sz w:val="28"/>
          <w:szCs w:val="28"/>
        </w:rPr>
        <w:t xml:space="preserve">,</w:t>
      </w:r>
      <w:r>
        <w:rPr>
          <w:b/>
          <w:sz w:val="28"/>
          <w:szCs w:val="28"/>
        </w:rPr>
        <w:t xml:space="preserve"> исключаются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5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Особенности заполнения отдельных показателей формы: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1417"/>
        <w:tabs>
          <w:tab w:val="center" w:pos="720" w:leader="none"/>
          <w:tab w:val="center" w:pos="3699" w:leader="none"/>
          <w:tab w:val="center" w:pos="6481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Ежеквартально: </w:t>
      </w:r>
      <w:r>
        <w:rPr>
          <w:b/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"/>
        <w:jc w:val="both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Раздел 1</w:t>
      </w:r>
      <w:r>
        <w:rPr>
          <w:bCs/>
          <w:sz w:val="28"/>
          <w:szCs w:val="28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Данные по строке 01 заполняются по всем графам</w:t>
      </w:r>
      <w:r>
        <w:rPr>
          <w:bCs/>
          <w:sz w:val="28"/>
          <w:szCs w:val="28"/>
        </w:rPr>
        <w:t xml:space="preserve"> (с 1 по 22)</w:t>
      </w:r>
      <w:r>
        <w:rPr>
          <w:bCs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20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u w:val="single"/>
        </w:rPr>
        <w:t xml:space="preserve">Раздел 2</w:t>
      </w:r>
      <w:r>
        <w:rPr>
          <w:bCs/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Данные по строке 01 заполняются по всем графам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Данные по стр</w:t>
      </w:r>
      <w:r>
        <w:rPr>
          <w:bCs/>
          <w:sz w:val="28"/>
          <w:szCs w:val="28"/>
        </w:rPr>
        <w:t xml:space="preserve">окам</w:t>
      </w:r>
      <w:r>
        <w:rPr>
          <w:bCs/>
          <w:sz w:val="28"/>
          <w:szCs w:val="28"/>
        </w:rPr>
        <w:t xml:space="preserve"> 02–1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 заполняются только по гр</w:t>
      </w:r>
      <w:r>
        <w:rPr>
          <w:bCs/>
          <w:sz w:val="28"/>
          <w:szCs w:val="28"/>
        </w:rPr>
        <w:t xml:space="preserve">афам</w:t>
      </w:r>
      <w:r>
        <w:rPr>
          <w:bCs/>
          <w:sz w:val="28"/>
          <w:szCs w:val="28"/>
        </w:rPr>
        <w:t xml:space="preserve"> 12,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13,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14,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18,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22.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20"/>
        <w:jc w:val="both"/>
        <w:rPr>
          <w:sz w:val="28"/>
          <w:szCs w:val="28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"/>
        <w:jc w:val="both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Раздел 3</w:t>
      </w:r>
      <w:r>
        <w:rPr>
          <w:bCs/>
          <w:sz w:val="28"/>
          <w:szCs w:val="28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Заполняются данные только по зерну.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708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Годовая разработка за январь</w:t>
      </w:r>
      <w:r>
        <w:rPr>
          <w:b/>
          <w:sz w:val="28"/>
          <w:szCs w:val="28"/>
        </w:rPr>
        <w:t xml:space="preserve">–</w:t>
      </w:r>
      <w:r>
        <w:rPr>
          <w:b/>
          <w:sz w:val="28"/>
          <w:szCs w:val="28"/>
        </w:rPr>
        <w:t xml:space="preserve">декабрь: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Заполняются полностью все разделы формы по всем строкам и графам при условии наличия явления.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15" w:firstLine="724"/>
        <w:jc w:val="both"/>
        <w:tabs>
          <w:tab w:val="center" w:pos="498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1 разделе формы </w:t>
      </w:r>
      <w:r>
        <w:rPr>
          <w:sz w:val="28"/>
          <w:szCs w:val="28"/>
        </w:rPr>
        <w:t xml:space="preserve">№ 1-СХ (баланс)-срочная</w:t>
      </w:r>
      <w:r>
        <w:rPr>
          <w:sz w:val="28"/>
          <w:szCs w:val="28"/>
        </w:rPr>
        <w:t xml:space="preserve"> показывается наличие зерна и видов зерновых культур, муки и крупы на начало отчетного периода и их поступление по всем основным статьям прихода, </w:t>
      </w:r>
      <w:r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использование по основным направлениям по соответствующим статьям расхода и наличие на конец отчетного пе</w:t>
      </w:r>
      <w:r>
        <w:rPr>
          <w:sz w:val="28"/>
          <w:szCs w:val="28"/>
        </w:rPr>
        <w:t xml:space="preserve">риода,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разделе – данные о вывозе зерна, муки и крупы за пределы субъекта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15" w:firstLine="724"/>
        <w:jc w:val="both"/>
        <w:tabs>
          <w:tab w:val="center" w:pos="498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Если в организации в течение отчетного периода не было движения по видам продукции, отраженной в отчете, то в форму показываются остатки на начало и конец отчетного периода.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15" w:right="-2" w:firstLine="724"/>
        <w:jc w:val="both"/>
        <w:rPr>
          <w:sz w:val="28"/>
          <w:szCs w:val="28"/>
          <w:u w:val="none"/>
        </w:rPr>
      </w:pPr>
      <w:r>
        <w:rPr>
          <w:sz w:val="28"/>
          <w:szCs w:val="28"/>
        </w:rPr>
        <w:t xml:space="preserve">В гр</w:t>
      </w:r>
      <w:r>
        <w:rPr>
          <w:sz w:val="28"/>
          <w:szCs w:val="28"/>
        </w:rPr>
        <w:t xml:space="preserve">афе</w:t>
      </w:r>
      <w:r>
        <w:rPr>
          <w:sz w:val="28"/>
          <w:szCs w:val="28"/>
        </w:rPr>
        <w:t xml:space="preserve"> 2 формы </w:t>
      </w:r>
      <w:r>
        <w:rPr>
          <w:sz w:val="28"/>
          <w:szCs w:val="28"/>
        </w:rPr>
        <w:t xml:space="preserve">№ 1-СХ (баланс)-срочная</w:t>
      </w:r>
      <w:r>
        <w:rPr>
          <w:sz w:val="28"/>
          <w:szCs w:val="28"/>
        </w:rPr>
        <w:t xml:space="preserve"> отражаются объемы зерна, приобретенного в отчетном периоде от поставщиков – сельскохозяйственных производителей своей территории (Луганской Народной Республики), а приобретенная продукция от несельскохозяйственных организаций показывается по гр</w:t>
      </w:r>
      <w:r>
        <w:rPr>
          <w:sz w:val="28"/>
          <w:szCs w:val="28"/>
        </w:rPr>
        <w:t xml:space="preserve">афе </w:t>
      </w:r>
      <w:r>
        <w:rPr>
          <w:sz w:val="28"/>
          <w:szCs w:val="28"/>
        </w:rPr>
        <w:t xml:space="preserve">7. По гр</w:t>
      </w:r>
      <w:r>
        <w:rPr>
          <w:sz w:val="28"/>
          <w:szCs w:val="28"/>
        </w:rPr>
        <w:t xml:space="preserve">афам </w:t>
      </w:r>
      <w:r>
        <w:rPr>
          <w:sz w:val="28"/>
          <w:szCs w:val="28"/>
        </w:rPr>
        <w:t xml:space="preserve">9 и 10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о 2</w:t>
      </w:r>
      <w:r>
        <w:rPr>
          <w:sz w:val="28"/>
          <w:szCs w:val="28"/>
        </w:rPr>
        <w:t xml:space="preserve"> разделе формы учитываются объемы зерна и продуктов его переработки, отгруженных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з</w:t>
      </w:r>
      <w:r>
        <w:rPr>
          <w:sz w:val="28"/>
          <w:szCs w:val="28"/>
          <w:u w:val="none"/>
        </w:rPr>
        <w:t xml:space="preserve">а пред</w:t>
      </w:r>
      <w:r>
        <w:rPr>
          <w:sz w:val="28"/>
          <w:szCs w:val="28"/>
          <w:u w:val="none"/>
        </w:rPr>
        <w:t xml:space="preserve">елы региона</w:t>
      </w:r>
      <w:r>
        <w:rPr>
          <w:sz w:val="28"/>
          <w:szCs w:val="28"/>
          <w:u w:val="none"/>
        </w:rPr>
        <w:t xml:space="preserve">.  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ind w:left="-15" w:firstLine="7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Данные о вывозе в пределах территории Луганской Народной Республики отражаются по гр</w:t>
      </w:r>
      <w:r>
        <w:rPr>
          <w:bCs/>
          <w:sz w:val="28"/>
          <w:szCs w:val="28"/>
        </w:rPr>
        <w:t xml:space="preserve">афе</w:t>
      </w:r>
      <w:r>
        <w:rPr>
          <w:bCs/>
          <w:sz w:val="28"/>
          <w:szCs w:val="28"/>
        </w:rPr>
        <w:t xml:space="preserve"> 20.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-15" w:firstLine="724"/>
        <w:jc w:val="both"/>
        <w:rPr>
          <w:bCs/>
          <w:sz w:val="28"/>
          <w:szCs w:val="28"/>
          <w:u w:val="none"/>
        </w:rPr>
      </w:pPr>
      <w:r>
        <w:rPr>
          <w:bCs/>
          <w:sz w:val="28"/>
          <w:szCs w:val="28"/>
        </w:rPr>
        <w:t xml:space="preserve">Данные графы 22 за отчетный год по всем видам продукции </w:t>
      </w:r>
      <w:r>
        <w:rPr>
          <w:bCs/>
          <w:sz w:val="28"/>
          <w:szCs w:val="28"/>
          <w:u w:val="none"/>
        </w:rPr>
        <w:t xml:space="preserve">д</w:t>
      </w:r>
      <w:r>
        <w:rPr>
          <w:bCs/>
          <w:sz w:val="28"/>
          <w:szCs w:val="28"/>
          <w:u w:val="none"/>
        </w:rPr>
        <w:t xml:space="preserve">олж</w:t>
      </w:r>
      <w:r>
        <w:rPr>
          <w:bCs/>
          <w:sz w:val="28"/>
          <w:szCs w:val="28"/>
          <w:u w:val="none"/>
        </w:rPr>
        <w:t xml:space="preserve">ны строго</w:t>
      </w:r>
      <w:r>
        <w:rPr>
          <w:bCs/>
          <w:sz w:val="28"/>
          <w:szCs w:val="28"/>
          <w:u w:val="none"/>
        </w:rPr>
        <w:t xml:space="preserve"> </w:t>
      </w:r>
      <w:r>
        <w:rPr>
          <w:bCs/>
          <w:sz w:val="28"/>
          <w:szCs w:val="28"/>
          <w:u w:val="none"/>
        </w:rPr>
        <w:t xml:space="preserve">соответствовать</w:t>
      </w:r>
      <w:r>
        <w:rPr>
          <w:bCs/>
          <w:sz w:val="28"/>
          <w:szCs w:val="28"/>
          <w:u w:val="none"/>
        </w:rPr>
        <w:t xml:space="preserve"> данным графы 1 за следующий за отчетным год.</w:t>
      </w:r>
      <w:r>
        <w:rPr>
          <w:bCs/>
          <w:sz w:val="28"/>
          <w:szCs w:val="28"/>
          <w:u w:val="none"/>
        </w:rPr>
      </w:r>
      <w:r>
        <w:rPr>
          <w:bCs/>
          <w:sz w:val="28"/>
          <w:szCs w:val="28"/>
          <w:u w:val="none"/>
        </w:rPr>
      </w:r>
    </w:p>
    <w:p>
      <w:pPr>
        <w:ind w:firstLine="0"/>
        <w:jc w:val="left"/>
        <w:tabs>
          <w:tab w:val="left" w:pos="1298" w:leader="none"/>
        </w:tabs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sectPr>
      <w:headerReference w:type="default" r:id="rId8"/>
      <w:headerReference w:type="even" r:id="rId9"/>
      <w:footnotePr/>
      <w:endnotePr/>
      <w:type w:val="nextPage"/>
      <w:pgSz w:w="11907" w:h="16840" w:orient="portrait"/>
      <w:pgMar w:top="0" w:right="567" w:bottom="1134" w:left="1134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rPr>
        <w:rStyle w:val="868"/>
      </w:rPr>
      <w:framePr w:wrap="around" w:vAnchor="text" w:hAnchor="margin" w:xAlign="right" w:y="1"/>
    </w:pPr>
    <w:r>
      <w:rPr>
        <w:rStyle w:val="868"/>
      </w:rPr>
      <w:fldChar w:fldCharType="begin"/>
    </w:r>
    <w:r>
      <w:rPr>
        <w:rStyle w:val="868"/>
      </w:rPr>
      <w:instrText xml:space="preserve">PAGE  </w:instrText>
    </w:r>
    <w:r>
      <w:rPr>
        <w:rStyle w:val="868"/>
      </w:rPr>
      <w:fldChar w:fldCharType="end"/>
    </w:r>
    <w:r>
      <w:rPr>
        <w:rStyle w:val="868"/>
      </w:rPr>
    </w:r>
    <w:r>
      <w:rPr>
        <w:rStyle w:val="868"/>
      </w:rPr>
    </w:r>
  </w:p>
  <w:p>
    <w:pPr>
      <w:pStyle w:val="866"/>
      <w:ind w:right="36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2"/>
    <w:next w:val="862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basedOn w:val="863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2"/>
    <w:next w:val="862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basedOn w:val="863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2"/>
    <w:next w:val="862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basedOn w:val="863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2"/>
    <w:next w:val="862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basedOn w:val="863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basedOn w:val="863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3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3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3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2"/>
    <w:next w:val="862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62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62"/>
    <w:next w:val="862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basedOn w:val="863"/>
    <w:link w:val="706"/>
    <w:uiPriority w:val="10"/>
    <w:rPr>
      <w:sz w:val="48"/>
      <w:szCs w:val="48"/>
    </w:rPr>
  </w:style>
  <w:style w:type="paragraph" w:styleId="708">
    <w:name w:val="Subtitle"/>
    <w:basedOn w:val="862"/>
    <w:next w:val="862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basedOn w:val="863"/>
    <w:link w:val="708"/>
    <w:uiPriority w:val="11"/>
    <w:rPr>
      <w:sz w:val="24"/>
      <w:szCs w:val="24"/>
    </w:rPr>
  </w:style>
  <w:style w:type="paragraph" w:styleId="710">
    <w:name w:val="Quote"/>
    <w:basedOn w:val="862"/>
    <w:next w:val="862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2"/>
    <w:next w:val="862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63"/>
    <w:link w:val="866"/>
    <w:uiPriority w:val="99"/>
  </w:style>
  <w:style w:type="paragraph" w:styleId="715">
    <w:name w:val="Footer"/>
    <w:basedOn w:val="862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>
    <w:name w:val="Footer Char"/>
    <w:basedOn w:val="863"/>
    <w:link w:val="715"/>
    <w:uiPriority w:val="99"/>
  </w:style>
  <w:style w:type="paragraph" w:styleId="717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715"/>
    <w:uiPriority w:val="99"/>
  </w:style>
  <w:style w:type="table" w:styleId="719">
    <w:name w:val="Table Grid"/>
    <w:basedOn w:val="8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Table Grid Light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19">
    <w:name w:val="List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0">
    <w:name w:val="List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1">
    <w:name w:val="List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2">
    <w:name w:val="List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23">
    <w:name w:val="List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4">
    <w:name w:val="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6">
    <w:name w:val="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7">
    <w:name w:val="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8">
    <w:name w:val="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9">
    <w:name w:val="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0">
    <w:name w:val="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1">
    <w:name w:val="Bordered &amp; 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33">
    <w:name w:val="Bordered &amp; 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Bordered &amp; 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Bordered &amp; 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Bordered &amp; 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7">
    <w:name w:val="Bordered &amp; 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863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63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63" w:default="1">
    <w:name w:val="Default Paragraph Font"/>
    <w:uiPriority w:val="1"/>
    <w:semiHidden/>
    <w:unhideWhenUsed/>
  </w:style>
  <w:style w:type="table" w:styleId="8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5" w:default="1">
    <w:name w:val="No List"/>
    <w:uiPriority w:val="99"/>
    <w:semiHidden/>
    <w:unhideWhenUsed/>
  </w:style>
  <w:style w:type="paragraph" w:styleId="866">
    <w:name w:val="Header"/>
    <w:basedOn w:val="862"/>
    <w:link w:val="867"/>
    <w:uiPriority w:val="99"/>
    <w:pPr>
      <w:tabs>
        <w:tab w:val="center" w:pos="4536" w:leader="none"/>
        <w:tab w:val="right" w:pos="9072" w:leader="none"/>
      </w:tabs>
    </w:pPr>
  </w:style>
  <w:style w:type="character" w:styleId="867" w:customStyle="1">
    <w:name w:val="Верхний колонтитул Знак"/>
    <w:basedOn w:val="863"/>
    <w:link w:val="866"/>
    <w:uiPriority w:val="99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68">
    <w:name w:val="page number"/>
    <w:basedOn w:val="863"/>
    <w:semiHidden/>
  </w:style>
  <w:style w:type="paragraph" w:styleId="869">
    <w:name w:val="Date"/>
    <w:basedOn w:val="862"/>
    <w:next w:val="862"/>
    <w:link w:val="870"/>
    <w:semiHidden/>
  </w:style>
  <w:style w:type="character" w:styleId="870" w:customStyle="1">
    <w:name w:val="Дата Знак"/>
    <w:basedOn w:val="863"/>
    <w:link w:val="869"/>
    <w:semiHidden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71">
    <w:name w:val="Balloon Text"/>
    <w:basedOn w:val="862"/>
    <w:link w:val="87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72" w:customStyle="1">
    <w:name w:val="Текст выноски Знак"/>
    <w:basedOn w:val="863"/>
    <w:link w:val="87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873">
    <w:name w:val="Hyperlink"/>
    <w:basedOn w:val="863"/>
    <w:uiPriority w:val="99"/>
    <w:unhideWhenUsed/>
    <w:rPr>
      <w:color w:val="0563c1" w:themeColor="hyperlink"/>
      <w:u w:val="single"/>
    </w:rPr>
  </w:style>
  <w:style w:type="paragraph" w:styleId="874" w:customStyle="1">
    <w:name w:val="Body Text Indent 2"/>
    <w:basedOn w:val="712"/>
    <w:pPr>
      <w:contextualSpacing w:val="0"/>
      <w:ind w:left="0" w:right="49" w:firstLine="33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yperlink" Target="https://rosstat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Елена Николаевна</dc:creator>
  <cp:keywords/>
  <dc:description/>
  <cp:revision>44</cp:revision>
  <dcterms:created xsi:type="dcterms:W3CDTF">2022-12-29T09:58:00Z</dcterms:created>
  <dcterms:modified xsi:type="dcterms:W3CDTF">2024-09-02T09:37:52Z</dcterms:modified>
</cp:coreProperties>
</file>